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2522">
      <w:pPr>
        <w:keepNext/>
        <w:keepLines/>
        <w:widowControl w:val="0"/>
        <w:numPr>
          <w:ilvl w:val="0"/>
          <w:numId w:val="1"/>
        </w:numPr>
        <w:tabs>
          <w:tab w:val="left" w:pos="0"/>
          <w:tab w:val="left" w:pos="3165"/>
          <w:tab w:val="center" w:pos="4153"/>
        </w:tabs>
        <w:autoSpaceDE w:val="0"/>
        <w:autoSpaceDN w:val="0"/>
        <w:adjustRightInd w:val="0"/>
        <w:spacing w:before="0" w:after="0" w:line="360" w:lineRule="auto"/>
        <w:jc w:val="center"/>
        <w:outlineLvl w:val="0"/>
        <w:rPr>
          <w:rFonts w:hint="eastAsia" w:ascii="黑体" w:hAnsi="黑体" w:eastAsia="黑体" w:cs="黑体"/>
          <w:b/>
          <w:bCs/>
          <w:i w:val="0"/>
          <w:iCs w:val="0"/>
          <w:kern w:val="44"/>
          <w:sz w:val="44"/>
          <w:szCs w:val="44"/>
          <w:lang w:val="en-US" w:eastAsia="zh-CN" w:bidi="ar-SA"/>
        </w:rPr>
      </w:pPr>
      <w:bookmarkStart w:id="0" w:name="_Toc11802"/>
      <w:r>
        <w:rPr>
          <w:rFonts w:hint="eastAsia" w:ascii="黑体" w:hAnsi="黑体" w:eastAsia="黑体" w:cs="黑体"/>
          <w:b/>
          <w:bCs/>
          <w:i w:val="0"/>
          <w:iCs w:val="0"/>
          <w:kern w:val="44"/>
          <w:sz w:val="44"/>
          <w:szCs w:val="44"/>
          <w:lang w:val="en-US" w:eastAsia="zh-CN" w:bidi="ar-SA"/>
        </w:rPr>
        <w:t>第五章 用户需求书</w:t>
      </w:r>
      <w:bookmarkEnd w:id="0"/>
    </w:p>
    <w:p w14:paraId="03E0E189">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b/>
          <w:i w:val="0"/>
          <w:iCs/>
          <w:color w:val="000000"/>
          <w:kern w:val="2"/>
          <w:sz w:val="28"/>
          <w:szCs w:val="28"/>
          <w:lang w:val="en-US" w:eastAsia="zh-CN" w:bidi="ar-SA"/>
        </w:rPr>
      </w:pPr>
      <w:bookmarkStart w:id="1" w:name="_Toc490734196"/>
      <w:r>
        <w:rPr>
          <w:rFonts w:hint="eastAsia" w:ascii="黑体" w:hAnsi="黑体" w:eastAsia="黑体" w:cs="黑体"/>
          <w:b/>
          <w:i w:val="0"/>
          <w:iCs/>
          <w:color w:val="000000"/>
          <w:kern w:val="2"/>
          <w:sz w:val="28"/>
          <w:szCs w:val="28"/>
          <w:lang w:val="en-US" w:eastAsia="zh-CN" w:bidi="ar-SA"/>
        </w:rPr>
        <w:t>一、项目概况</w:t>
      </w:r>
      <w:bookmarkEnd w:id="1"/>
    </w:p>
    <w:p w14:paraId="47E4136F">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1、采购单位: 海南西部中心医院</w:t>
      </w:r>
    </w:p>
    <w:p w14:paraId="0D25D36C">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2、项目名称：</w:t>
      </w:r>
      <w:r>
        <w:rPr>
          <w:rFonts w:hint="eastAsia" w:ascii="黑体" w:hAnsi="黑体" w:eastAsia="黑体" w:cs="黑体"/>
          <w:color w:val="000000"/>
          <w:sz w:val="24"/>
          <w:szCs w:val="24"/>
          <w:lang w:eastAsia="zh-CN"/>
        </w:rPr>
        <w:t>海南西部中心医院7号楼一层结构补强加固工程（二次）</w:t>
      </w:r>
    </w:p>
    <w:p w14:paraId="6E43610A">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3、项目预算：</w:t>
      </w:r>
      <w:r>
        <w:rPr>
          <w:rFonts w:hint="eastAsia" w:ascii="黑体" w:hAnsi="黑体" w:eastAsia="黑体" w:cs="黑体"/>
          <w:sz w:val="24"/>
          <w:szCs w:val="24"/>
          <w:lang w:val="en-US" w:eastAsia="zh-CN"/>
        </w:rPr>
        <w:t>271713.38</w:t>
      </w:r>
      <w:r>
        <w:rPr>
          <w:rFonts w:hint="eastAsia" w:ascii="黑体" w:hAnsi="黑体" w:eastAsia="黑体" w:cs="黑体"/>
          <w:sz w:val="24"/>
          <w:szCs w:val="24"/>
        </w:rPr>
        <w:t>元</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包干费</w:t>
      </w:r>
      <w:r>
        <w:rPr>
          <w:rFonts w:hint="eastAsia" w:ascii="黑体" w:hAnsi="黑体" w:eastAsia="黑体" w:cs="黑体"/>
          <w:sz w:val="24"/>
          <w:szCs w:val="24"/>
          <w:lang w:eastAsia="zh-CN"/>
        </w:rPr>
        <w:t>）</w:t>
      </w:r>
      <w:r>
        <w:rPr>
          <w:rFonts w:hint="eastAsia" w:ascii="黑体" w:hAnsi="黑体" w:eastAsia="黑体" w:cs="黑体"/>
          <w:sz w:val="24"/>
          <w:szCs w:val="24"/>
        </w:rPr>
        <w:t>，超出采购预算（最高限价）的投标报价，按无效投标处理</w:t>
      </w:r>
      <w:r>
        <w:rPr>
          <w:rFonts w:hint="eastAsia" w:ascii="黑体" w:hAnsi="黑体" w:eastAsia="黑体" w:cs="黑体"/>
          <w:sz w:val="24"/>
          <w:szCs w:val="24"/>
          <w:lang w:eastAsia="zh-CN"/>
        </w:rPr>
        <w:t>。</w:t>
      </w:r>
    </w:p>
    <w:p w14:paraId="6139E01D">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4、项目面积：</w:t>
      </w:r>
      <w:r>
        <w:rPr>
          <w:rFonts w:hint="eastAsia" w:ascii="黑体" w:hAnsi="黑体" w:eastAsia="黑体" w:cs="黑体"/>
          <w:color w:val="000000"/>
          <w:sz w:val="24"/>
          <w:szCs w:val="24"/>
          <w:u w:val="single"/>
          <w:lang w:val="en-US" w:eastAsia="zh-CN"/>
        </w:rPr>
        <w:t>202.96</w:t>
      </w:r>
      <w:r>
        <w:rPr>
          <w:rFonts w:hint="eastAsia" w:ascii="黑体" w:hAnsi="黑体" w:eastAsia="黑体" w:cs="黑体"/>
          <w:color w:val="000000"/>
          <w:sz w:val="24"/>
          <w:szCs w:val="24"/>
        </w:rPr>
        <w:t>平方米</w:t>
      </w:r>
    </w:p>
    <w:p w14:paraId="01C082FC">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lang w:val="en-US" w:eastAsia="zh-CN"/>
        </w:rPr>
      </w:pPr>
      <w:r>
        <w:rPr>
          <w:rFonts w:hint="eastAsia" w:ascii="黑体" w:hAnsi="黑体" w:eastAsia="黑体" w:cs="黑体"/>
          <w:color w:val="000000"/>
          <w:sz w:val="24"/>
          <w:szCs w:val="24"/>
        </w:rPr>
        <w:t>5、工  期：</w:t>
      </w:r>
      <w:r>
        <w:rPr>
          <w:rFonts w:hint="eastAsia" w:ascii="黑体" w:hAnsi="黑体" w:eastAsia="黑体" w:cs="黑体"/>
          <w:color w:val="000000"/>
          <w:sz w:val="24"/>
          <w:szCs w:val="24"/>
          <w:lang w:val="en-US" w:eastAsia="zh-CN"/>
        </w:rPr>
        <w:t>45日历天</w:t>
      </w:r>
    </w:p>
    <w:p w14:paraId="38361093">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6、项目分包情况：不允许转包和分包</w:t>
      </w:r>
    </w:p>
    <w:p w14:paraId="23030559">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7、资金来源：院内自筹资金</w:t>
      </w:r>
    </w:p>
    <w:p w14:paraId="65B19F45">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8、验收方式：由院方组织有关部门进行验收，中标方须派相关负责人按院方指定地点现场共同验收。</w:t>
      </w:r>
    </w:p>
    <w:p w14:paraId="636C597B">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9、结算方式:</w:t>
      </w:r>
      <w:r>
        <w:rPr>
          <w:rFonts w:hint="eastAsia" w:ascii="黑体" w:hAnsi="黑体" w:eastAsia="黑体" w:cs="黑体"/>
          <w:sz w:val="24"/>
          <w:szCs w:val="24"/>
        </w:rPr>
        <w:t>按合同约定方式付款</w:t>
      </w:r>
    </w:p>
    <w:p w14:paraId="3572B33C">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b/>
          <w:i w:val="0"/>
          <w:iCs/>
          <w:color w:val="000000"/>
          <w:kern w:val="2"/>
          <w:sz w:val="28"/>
          <w:szCs w:val="28"/>
          <w:lang w:val="en-US" w:eastAsia="zh-CN" w:bidi="ar-SA"/>
        </w:rPr>
      </w:pPr>
      <w:r>
        <w:rPr>
          <w:rFonts w:hint="eastAsia" w:ascii="黑体" w:hAnsi="黑体" w:eastAsia="黑体" w:cs="黑体"/>
          <w:b/>
          <w:i w:val="0"/>
          <w:iCs/>
          <w:color w:val="000000"/>
          <w:kern w:val="2"/>
          <w:sz w:val="28"/>
          <w:szCs w:val="28"/>
          <w:lang w:val="en-US" w:eastAsia="zh-CN" w:bidi="ar-SA"/>
        </w:rPr>
        <w:t>二、采购产品及技术参数等要求</w:t>
      </w:r>
    </w:p>
    <w:tbl>
      <w:tblPr>
        <w:tblStyle w:val="4"/>
        <w:tblW w:w="7999" w:type="dxa"/>
        <w:jc w:val="center"/>
        <w:tblLayout w:type="autofit"/>
        <w:tblCellMar>
          <w:top w:w="0" w:type="dxa"/>
          <w:left w:w="0" w:type="dxa"/>
          <w:bottom w:w="0" w:type="dxa"/>
          <w:right w:w="0" w:type="dxa"/>
        </w:tblCellMar>
      </w:tblPr>
      <w:tblGrid>
        <w:gridCol w:w="612"/>
        <w:gridCol w:w="1690"/>
        <w:gridCol w:w="5697"/>
      </w:tblGrid>
      <w:tr w14:paraId="336050CA">
        <w:tblPrEx>
          <w:tblCellMar>
            <w:top w:w="0" w:type="dxa"/>
            <w:left w:w="0" w:type="dxa"/>
            <w:bottom w:w="0" w:type="dxa"/>
            <w:right w:w="0" w:type="dxa"/>
          </w:tblCellMar>
        </w:tblPrEx>
        <w:trPr>
          <w:trHeight w:val="640"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29F7D6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690" w:type="dxa"/>
            <w:tcBorders>
              <w:top w:val="single" w:color="000000" w:sz="4" w:space="0"/>
              <w:left w:val="nil"/>
              <w:bottom w:val="single" w:color="000000" w:sz="4" w:space="0"/>
              <w:right w:val="single" w:color="000000" w:sz="4" w:space="0"/>
            </w:tcBorders>
            <w:noWrap/>
            <w:vAlign w:val="center"/>
          </w:tcPr>
          <w:p w14:paraId="1CF0D2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采购</w:t>
            </w:r>
          </w:p>
          <w:p w14:paraId="7C6088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产品</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07A3C3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技术参数</w:t>
            </w:r>
          </w:p>
        </w:tc>
      </w:tr>
      <w:tr w14:paraId="1AD7FB20">
        <w:tblPrEx>
          <w:tblCellMar>
            <w:top w:w="0" w:type="dxa"/>
            <w:left w:w="0" w:type="dxa"/>
            <w:bottom w:w="0" w:type="dxa"/>
            <w:right w:w="0" w:type="dxa"/>
          </w:tblCellMar>
        </w:tblPrEx>
        <w:trPr>
          <w:trHeight w:val="953"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0BE441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1</w:t>
            </w:r>
          </w:p>
        </w:tc>
        <w:tc>
          <w:tcPr>
            <w:tcW w:w="1690" w:type="dxa"/>
            <w:tcBorders>
              <w:top w:val="single" w:color="000000" w:sz="4" w:space="0"/>
              <w:left w:val="nil"/>
              <w:bottom w:val="single" w:color="000000" w:sz="4" w:space="0"/>
              <w:right w:val="single" w:color="000000" w:sz="4" w:space="0"/>
            </w:tcBorders>
            <w:noWrap/>
            <w:vAlign w:val="center"/>
          </w:tcPr>
          <w:p w14:paraId="118252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建筑结构粘碳胶</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0161673A">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color w:val="000000"/>
                <w:kern w:val="0"/>
                <w:sz w:val="24"/>
                <w:szCs w:val="24"/>
              </w:rPr>
              <w:t xml:space="preserve"> </w:t>
            </w:r>
            <w:r>
              <w:rPr>
                <w:rFonts w:hint="eastAsia" w:ascii="黑体" w:hAnsi="黑体" w:eastAsia="黑体" w:cs="黑体"/>
                <w:color w:val="000000"/>
                <w:kern w:val="0"/>
                <w:sz w:val="24"/>
                <w:szCs w:val="24"/>
                <w:lang w:val="en-US" w:eastAsia="zh-CN"/>
              </w:rPr>
              <w:t>A级，抗拉强度≥38</w:t>
            </w:r>
            <w:r>
              <w:rPr>
                <w:rFonts w:hint="eastAsia" w:ascii="黑体" w:hAnsi="黑体" w:eastAsia="黑体" w:cs="黑体"/>
                <w:sz w:val="24"/>
                <w:szCs w:val="24"/>
                <w:lang w:val="en-US" w:eastAsia="zh-CN"/>
              </w:rPr>
              <w:t>Mpa，受拉弹性模量</w:t>
            </w:r>
            <w:r>
              <w:rPr>
                <w:rFonts w:hint="eastAsia" w:ascii="黑体" w:hAnsi="黑体" w:eastAsia="黑体" w:cs="黑体"/>
                <w:color w:val="000000"/>
                <w:kern w:val="0"/>
                <w:sz w:val="24"/>
                <w:szCs w:val="24"/>
                <w:lang w:val="en-US" w:eastAsia="zh-CN"/>
              </w:rPr>
              <w:t>≥2.4×10</w:t>
            </w:r>
            <w:r>
              <w:rPr>
                <w:rFonts w:hint="eastAsia" w:ascii="黑体" w:hAnsi="黑体" w:eastAsia="黑体" w:cs="黑体"/>
                <w:color w:val="000000"/>
                <w:kern w:val="0"/>
                <w:sz w:val="24"/>
                <w:szCs w:val="24"/>
                <w:vertAlign w:val="superscript"/>
                <w:lang w:val="en-US" w:eastAsia="zh-CN"/>
              </w:rPr>
              <w:t>3</w:t>
            </w:r>
            <w:r>
              <w:rPr>
                <w:rFonts w:hint="eastAsia" w:ascii="黑体" w:hAnsi="黑体" w:eastAsia="黑体" w:cs="黑体"/>
                <w:sz w:val="24"/>
                <w:szCs w:val="24"/>
                <w:lang w:val="en-US" w:eastAsia="zh-CN"/>
              </w:rPr>
              <w:t>Mpa，伸长率</w:t>
            </w:r>
            <w:r>
              <w:rPr>
                <w:rFonts w:hint="eastAsia" w:ascii="黑体" w:hAnsi="黑体" w:eastAsia="黑体" w:cs="黑体"/>
                <w:color w:val="000000"/>
                <w:kern w:val="0"/>
                <w:sz w:val="24"/>
                <w:szCs w:val="24"/>
                <w:lang w:val="en-US" w:eastAsia="zh-CN"/>
              </w:rPr>
              <w:t>≥1.5%，抗弯强度≥50</w:t>
            </w:r>
            <w:r>
              <w:rPr>
                <w:rFonts w:hint="eastAsia" w:ascii="黑体" w:hAnsi="黑体" w:eastAsia="黑体" w:cs="黑体"/>
                <w:sz w:val="24"/>
                <w:szCs w:val="24"/>
                <w:lang w:val="en-US" w:eastAsia="zh-CN"/>
              </w:rPr>
              <w:t>Mpa</w:t>
            </w:r>
          </w:p>
        </w:tc>
      </w:tr>
      <w:tr w14:paraId="3C36FC3C">
        <w:tblPrEx>
          <w:tblCellMar>
            <w:top w:w="0" w:type="dxa"/>
            <w:left w:w="0" w:type="dxa"/>
            <w:bottom w:w="0" w:type="dxa"/>
            <w:right w:w="0" w:type="dxa"/>
          </w:tblCellMar>
        </w:tblPrEx>
        <w:trPr>
          <w:trHeight w:val="1111"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7BB98F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2</w:t>
            </w:r>
          </w:p>
        </w:tc>
        <w:tc>
          <w:tcPr>
            <w:tcW w:w="1690" w:type="dxa"/>
            <w:tcBorders>
              <w:top w:val="single" w:color="000000" w:sz="4" w:space="0"/>
              <w:left w:val="nil"/>
              <w:bottom w:val="single" w:color="000000" w:sz="4" w:space="0"/>
              <w:right w:val="single" w:color="000000" w:sz="4" w:space="0"/>
            </w:tcBorders>
            <w:noWrap/>
            <w:vAlign w:val="center"/>
          </w:tcPr>
          <w:p w14:paraId="024AD1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碳纤维布</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1602241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厚度0.167，弹性模量不小于240Gpa，极限强度不小于3400Mpa，伸长率不大于1.7%，宽度和间距可调整</w:t>
            </w:r>
          </w:p>
        </w:tc>
      </w:tr>
      <w:tr w14:paraId="29BF2DC2">
        <w:tblPrEx>
          <w:tblCellMar>
            <w:top w:w="0" w:type="dxa"/>
            <w:left w:w="0" w:type="dxa"/>
            <w:bottom w:w="0" w:type="dxa"/>
            <w:right w:w="0" w:type="dxa"/>
          </w:tblCellMar>
        </w:tblPrEx>
        <w:trPr>
          <w:trHeight w:val="425"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37760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3</w:t>
            </w:r>
          </w:p>
        </w:tc>
        <w:tc>
          <w:tcPr>
            <w:tcW w:w="1690" w:type="dxa"/>
            <w:tcBorders>
              <w:top w:val="single" w:color="000000" w:sz="4" w:space="0"/>
              <w:left w:val="nil"/>
              <w:bottom w:val="single" w:color="000000" w:sz="4" w:space="0"/>
              <w:right w:val="single" w:color="000000" w:sz="4" w:space="0"/>
            </w:tcBorders>
            <w:noWrap/>
            <w:vAlign w:val="center"/>
          </w:tcPr>
          <w:p w14:paraId="16F89B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eastAsia="zh-CN"/>
              </w:rPr>
            </w:pPr>
            <w:r>
              <w:rPr>
                <w:rFonts w:hint="eastAsia" w:ascii="黑体" w:hAnsi="黑体" w:eastAsia="黑体" w:cs="黑体"/>
                <w:color w:val="000000"/>
                <w:sz w:val="24"/>
                <w:szCs w:val="24"/>
                <w:u w:val="none"/>
                <w:lang w:val="en-US" w:eastAsia="zh-CN"/>
              </w:rPr>
              <w:t>粘钢材料</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03D7697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center"/>
              <w:rPr>
                <w:rFonts w:hint="eastAsia" w:ascii="黑体" w:hAnsi="黑体" w:eastAsia="黑体" w:cs="黑体"/>
                <w:sz w:val="24"/>
                <w:szCs w:val="24"/>
                <w:lang w:val="en-US" w:eastAsia="zh-CN"/>
              </w:rPr>
            </w:pPr>
            <w:r>
              <w:rPr>
                <w:rFonts w:hint="eastAsia" w:ascii="黑体" w:hAnsi="黑体" w:eastAsia="黑体" w:cs="黑体"/>
                <w:color w:val="000000"/>
                <w:sz w:val="24"/>
                <w:szCs w:val="24"/>
                <w:u w:val="none"/>
                <w:lang w:val="en-US" w:eastAsia="zh-CN"/>
              </w:rPr>
              <w:t>国产钢材Q345</w:t>
            </w:r>
          </w:p>
        </w:tc>
      </w:tr>
      <w:tr w14:paraId="42B780B4">
        <w:tblPrEx>
          <w:tblCellMar>
            <w:top w:w="0" w:type="dxa"/>
            <w:left w:w="0" w:type="dxa"/>
            <w:bottom w:w="0" w:type="dxa"/>
            <w:right w:w="0" w:type="dxa"/>
          </w:tblCellMar>
        </w:tblPrEx>
        <w:trPr>
          <w:trHeight w:val="662"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2B6A14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4</w:t>
            </w:r>
          </w:p>
        </w:tc>
        <w:tc>
          <w:tcPr>
            <w:tcW w:w="1690" w:type="dxa"/>
            <w:tcBorders>
              <w:top w:val="single" w:color="000000" w:sz="4" w:space="0"/>
              <w:left w:val="nil"/>
              <w:bottom w:val="single" w:color="000000" w:sz="4" w:space="0"/>
              <w:right w:val="single" w:color="000000" w:sz="4" w:space="0"/>
            </w:tcBorders>
            <w:noWrap/>
            <w:vAlign w:val="center"/>
          </w:tcPr>
          <w:p w14:paraId="4817A2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rPr>
            </w:pPr>
            <w:r>
              <w:rPr>
                <w:rFonts w:hint="eastAsia" w:ascii="黑体" w:hAnsi="黑体" w:eastAsia="黑体" w:cs="黑体"/>
                <w:color w:val="000000"/>
                <w:sz w:val="24"/>
                <w:szCs w:val="24"/>
                <w:u w:val="none"/>
                <w:lang w:val="en-US" w:eastAsia="zh-CN"/>
              </w:rPr>
              <w:t>粘钢胶</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70236F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国产A级结构胶，</w:t>
            </w:r>
            <w:r>
              <w:rPr>
                <w:rFonts w:hint="eastAsia" w:ascii="黑体" w:hAnsi="黑体" w:eastAsia="黑体" w:cs="黑体"/>
                <w:color w:val="000000"/>
                <w:kern w:val="0"/>
                <w:sz w:val="24"/>
                <w:szCs w:val="24"/>
                <w:lang w:val="en-US" w:eastAsia="zh-CN"/>
              </w:rPr>
              <w:t>抗拉强度≥38</w:t>
            </w:r>
            <w:r>
              <w:rPr>
                <w:rFonts w:hint="eastAsia" w:ascii="黑体" w:hAnsi="黑体" w:eastAsia="黑体" w:cs="黑体"/>
                <w:sz w:val="24"/>
                <w:szCs w:val="24"/>
                <w:lang w:val="en-US" w:eastAsia="zh-CN"/>
              </w:rPr>
              <w:t>Mpa，受拉弹性模量</w:t>
            </w:r>
            <w:r>
              <w:rPr>
                <w:rFonts w:hint="eastAsia" w:ascii="黑体" w:hAnsi="黑体" w:eastAsia="黑体" w:cs="黑体"/>
                <w:color w:val="000000"/>
                <w:kern w:val="0"/>
                <w:sz w:val="24"/>
                <w:szCs w:val="24"/>
                <w:lang w:val="en-US" w:eastAsia="zh-CN"/>
              </w:rPr>
              <w:t>≥2.4×10</w:t>
            </w:r>
            <w:r>
              <w:rPr>
                <w:rFonts w:hint="eastAsia" w:ascii="黑体" w:hAnsi="黑体" w:eastAsia="黑体" w:cs="黑体"/>
                <w:color w:val="000000"/>
                <w:kern w:val="0"/>
                <w:sz w:val="24"/>
                <w:szCs w:val="24"/>
                <w:vertAlign w:val="superscript"/>
                <w:lang w:val="en-US" w:eastAsia="zh-CN"/>
              </w:rPr>
              <w:t>3</w:t>
            </w:r>
            <w:r>
              <w:rPr>
                <w:rFonts w:hint="eastAsia" w:ascii="黑体" w:hAnsi="黑体" w:eastAsia="黑体" w:cs="黑体"/>
                <w:sz w:val="24"/>
                <w:szCs w:val="24"/>
                <w:lang w:val="en-US" w:eastAsia="zh-CN"/>
              </w:rPr>
              <w:t>Mpa，伸长率</w:t>
            </w:r>
            <w:r>
              <w:rPr>
                <w:rFonts w:hint="eastAsia" w:ascii="黑体" w:hAnsi="黑体" w:eastAsia="黑体" w:cs="黑体"/>
                <w:color w:val="000000"/>
                <w:kern w:val="0"/>
                <w:sz w:val="24"/>
                <w:szCs w:val="24"/>
                <w:lang w:val="en-US" w:eastAsia="zh-CN"/>
              </w:rPr>
              <w:t>≥1.5%，抗弯强度≥50</w:t>
            </w:r>
            <w:r>
              <w:rPr>
                <w:rFonts w:hint="eastAsia" w:ascii="黑体" w:hAnsi="黑体" w:eastAsia="黑体" w:cs="黑体"/>
                <w:sz w:val="24"/>
                <w:szCs w:val="24"/>
                <w:lang w:val="en-US" w:eastAsia="zh-CN"/>
              </w:rPr>
              <w:t>Mpa</w:t>
            </w:r>
          </w:p>
        </w:tc>
      </w:tr>
    </w:tbl>
    <w:p w14:paraId="07D90337">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i w:val="0"/>
          <w:iCs w:val="0"/>
          <w:kern w:val="2"/>
          <w:sz w:val="28"/>
          <w:szCs w:val="28"/>
          <w:lang w:val="en-US" w:eastAsia="zh-CN" w:bidi="ar-SA"/>
        </w:rPr>
      </w:pPr>
      <w:r>
        <w:rPr>
          <w:rFonts w:hint="eastAsia" w:ascii="黑体" w:hAnsi="黑体" w:eastAsia="黑体" w:cs="黑体"/>
          <w:b/>
          <w:i w:val="0"/>
          <w:iCs/>
          <w:color w:val="000000"/>
          <w:kern w:val="2"/>
          <w:sz w:val="28"/>
          <w:szCs w:val="28"/>
          <w:lang w:val="en-US" w:eastAsia="zh-CN" w:bidi="ar-SA"/>
        </w:rPr>
        <w:t>三、商务要求</w:t>
      </w:r>
    </w:p>
    <w:p w14:paraId="324A90AC">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资质要求</w:t>
      </w:r>
    </w:p>
    <w:p w14:paraId="3A01F91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中标方须具备建筑结构加固工程专业承包资质，且资质等级应符合国家及地方相关规定，具备有效的安全生产许可证。同时，中标方应具有类似建筑结构加固项目的施工经验，提供过往项目的合同及验收证明文件，以证明其具备承担本项目施工的能力。项目负责人需具备相关专业的二级及以上注册建造师资格，且具有丰富的结构加固项目管理经验，近三年内无不良工程业绩记录。</w:t>
      </w:r>
    </w:p>
    <w:p w14:paraId="6F6AA121">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材料要求</w:t>
      </w:r>
    </w:p>
    <w:p w14:paraId="30337B6B">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所有加固材料应符合国家相关标准和规范要求，具有质量合格证明文件。例如，钢材应具有出厂质量证明书和力学性能检验报告，碳纤维布应符合相关标准规定的物理力学性能指标。粘钢胶除满足相应的技术参数要求外，还需提供环保检测报告，证明其符合医院场所的环保要求，无有害气体挥发，不会对医院环境和人员健康造成影响。</w:t>
      </w:r>
    </w:p>
    <w:p w14:paraId="5F69D23C">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▲2、采购方发现中标方采购或使用不符合设计或规范要求的材料、设备时，采购方有权要求中标方对所采购或使用的材料和设备进行修复、拆除、更换等，由此产生的费用由中标方承担。</w:t>
      </w:r>
    </w:p>
    <w:p w14:paraId="1CED1CDD">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（三）施工要求</w:t>
      </w:r>
    </w:p>
    <w:p w14:paraId="39FB6DD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▲1、中标方应严格按照加固设计方案和相关施工规范进行施工，确保加固工程的质量和安全。</w:t>
      </w:r>
    </w:p>
    <w:p w14:paraId="4A183A9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2、加强对施工过程的监控和管理，做好施工记录和质量检验工作，及时发现和解决施工中出现的问题。</w:t>
      </w:r>
    </w:p>
    <w:p w14:paraId="382A279D">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3、中标方在施工中应注意爱护室内设施，节约用水用电，遵守院方管理规定。</w:t>
      </w:r>
    </w:p>
    <w:p w14:paraId="158D019C">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4、中标方在施工中应注意避免或减少对正常的医疗工作秩序的影响。</w:t>
      </w:r>
    </w:p>
    <w:p w14:paraId="5C44769E">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5、中标方必须自行负责材料运输，装卸，保管以及材料的检查等施工工作。</w:t>
      </w:r>
    </w:p>
    <w:p w14:paraId="100F4E31">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6、中标方施工人员必须遵守招标方施工现场规章制度，服从院方的管理，做到文明安全施工，对在施工中产生的垃圾及时清运出场，做到工完场清。</w:t>
      </w:r>
    </w:p>
    <w:p w14:paraId="41DCF1C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7、在施工中，如果由于中标方自身原因造成损坏的一切设施物品均需照价赔偿或复原。</w:t>
      </w:r>
    </w:p>
    <w:p w14:paraId="509D81C6">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8、因中标方原因造成施工质量不合格，中标方应在院方规定的时间无偿返工，达到质量验收标准。</w:t>
      </w:r>
    </w:p>
    <w:p w14:paraId="156FDCD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9、在施工过程中，中标方人员所发生的一切安全事故以及造成的经济损失和法律责任，由中标方自行承担。</w:t>
      </w:r>
    </w:p>
    <w:p w14:paraId="4D6933E0">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10、中标方必须委派现场专职施工负责人，负责处理与本工程相关的一切事务，其他现场管理人员必须满足施工需要，保证工程顺利进行。</w:t>
      </w:r>
    </w:p>
    <w:p w14:paraId="5EA6060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（四）验收要求</w:t>
      </w:r>
    </w:p>
    <w:p w14:paraId="446FE72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1、加固工程完成后，应按照国家相关标准和规范进行质量验收。</w:t>
      </w:r>
    </w:p>
    <w:p w14:paraId="265EB56F">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2、验收应由采购方与中标方共同进行，验收合格后方可投入使用。</w:t>
      </w:r>
    </w:p>
    <w:p w14:paraId="2BC9A8D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2"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b/>
          <w:bCs/>
          <w:i w:val="0"/>
          <w:iCs w:val="0"/>
          <w:sz w:val="24"/>
          <w:szCs w:val="24"/>
          <w:lang w:val="en-US" w:eastAsia="zh-CN"/>
        </w:rPr>
        <w:t>*</w:t>
      </w:r>
      <w:r>
        <w:rPr>
          <w:rFonts w:hint="eastAsia" w:ascii="黑体" w:hAnsi="黑体" w:eastAsia="黑体" w:cs="黑体"/>
          <w:i w:val="0"/>
          <w:iCs w:val="0"/>
          <w:kern w:val="2"/>
          <w:sz w:val="24"/>
          <w:szCs w:val="24"/>
          <w:lang w:val="en-US" w:eastAsia="zh-CN" w:bidi="ar-SA"/>
        </w:rPr>
        <w:t>3、工程竣工验收合格后，一个月内必须向采购方提交叁套装订成册的竣工资料。</w:t>
      </w:r>
    </w:p>
    <w:p w14:paraId="206BC3C2">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▲4、承担本工程施工范围内的材料检测费用。</w:t>
      </w:r>
    </w:p>
    <w:p w14:paraId="15FDA5CA">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五</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质保期</w:t>
      </w:r>
    </w:p>
    <w:p w14:paraId="0D9181C9">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b/>
          <w:bCs/>
          <w:color w:val="000000"/>
          <w:sz w:val="24"/>
          <w:szCs w:val="24"/>
          <w:lang w:eastAsia="zh-CN"/>
        </w:rPr>
      </w:pPr>
      <w:r>
        <w:rPr>
          <w:rFonts w:hint="eastAsia" w:ascii="黑体" w:hAnsi="黑体" w:eastAsia="黑体" w:cs="黑体"/>
          <w:color w:val="000000"/>
          <w:sz w:val="24"/>
          <w:szCs w:val="24"/>
          <w:lang w:val="en-US" w:eastAsia="zh-CN"/>
        </w:rPr>
        <w:t>1、</w:t>
      </w:r>
      <w:r>
        <w:rPr>
          <w:rFonts w:hint="eastAsia" w:ascii="黑体" w:hAnsi="黑体" w:eastAsia="黑体" w:cs="黑体"/>
          <w:color w:val="000000"/>
          <w:sz w:val="24"/>
          <w:szCs w:val="24"/>
        </w:rPr>
        <w:t>验收交付之日起2年</w:t>
      </w:r>
      <w:r>
        <w:rPr>
          <w:rFonts w:hint="eastAsia" w:ascii="黑体" w:hAnsi="黑体" w:eastAsia="黑体" w:cs="黑体"/>
          <w:bCs/>
          <w:color w:val="000000"/>
          <w:sz w:val="24"/>
          <w:szCs w:val="24"/>
        </w:rPr>
        <w:t>内</w:t>
      </w:r>
      <w:r>
        <w:rPr>
          <w:rFonts w:hint="eastAsia" w:ascii="黑体" w:hAnsi="黑体" w:eastAsia="黑体" w:cs="黑体"/>
          <w:color w:val="000000"/>
          <w:sz w:val="24"/>
          <w:szCs w:val="24"/>
        </w:rPr>
        <w:t>，</w:t>
      </w:r>
      <w:r>
        <w:rPr>
          <w:rFonts w:hint="eastAsia" w:ascii="黑体" w:hAnsi="黑体" w:eastAsia="黑体" w:cs="黑体"/>
          <w:b/>
          <w:bCs/>
          <w:color w:val="000000"/>
          <w:sz w:val="24"/>
          <w:szCs w:val="24"/>
        </w:rPr>
        <w:t>对所供应的产品质量问题提供免费质保或更换</w:t>
      </w:r>
      <w:r>
        <w:rPr>
          <w:rFonts w:hint="eastAsia" w:ascii="黑体" w:hAnsi="黑体" w:eastAsia="黑体" w:cs="黑体"/>
          <w:b/>
          <w:bCs/>
          <w:color w:val="000000"/>
          <w:sz w:val="24"/>
          <w:szCs w:val="24"/>
          <w:lang w:eastAsia="zh-CN"/>
        </w:rPr>
        <w:t>。</w:t>
      </w:r>
    </w:p>
    <w:p w14:paraId="1AF72468">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lang w:eastAsia="zh-CN"/>
        </w:rPr>
        <w:t xml:space="preserve">如发现因产品质量问题导致的结构安全隐患或其他质量问题，中标方应在接到通知后的 </w:t>
      </w:r>
      <w:r>
        <w:rPr>
          <w:rFonts w:hint="eastAsia" w:ascii="黑体" w:hAnsi="黑体" w:eastAsia="黑体" w:cs="黑体"/>
          <w:b w:val="0"/>
          <w:bCs w:val="0"/>
          <w:color w:val="000000"/>
          <w:sz w:val="24"/>
          <w:szCs w:val="24"/>
          <w:lang w:val="en-US" w:eastAsia="zh-CN"/>
        </w:rPr>
        <w:t>0.5</w:t>
      </w:r>
      <w:r>
        <w:rPr>
          <w:rFonts w:hint="eastAsia" w:ascii="黑体" w:hAnsi="黑体" w:eastAsia="黑体" w:cs="黑体"/>
          <w:b w:val="0"/>
          <w:bCs w:val="0"/>
          <w:color w:val="000000"/>
          <w:sz w:val="24"/>
          <w:szCs w:val="24"/>
          <w:lang w:eastAsia="zh-CN"/>
        </w:rPr>
        <w:t>小时内响应，</w:t>
      </w:r>
      <w:r>
        <w:rPr>
          <w:rFonts w:hint="eastAsia" w:ascii="黑体" w:hAnsi="黑体" w:eastAsia="黑体" w:cs="黑体"/>
          <w:b w:val="0"/>
          <w:bCs w:val="0"/>
          <w:color w:val="000000"/>
          <w:sz w:val="24"/>
          <w:szCs w:val="24"/>
          <w:lang w:val="en-US" w:eastAsia="zh-CN"/>
        </w:rPr>
        <w:t>12</w:t>
      </w:r>
      <w:r>
        <w:rPr>
          <w:rFonts w:hint="eastAsia" w:ascii="黑体" w:hAnsi="黑体" w:eastAsia="黑体" w:cs="黑体"/>
          <w:b w:val="0"/>
          <w:bCs w:val="0"/>
          <w:color w:val="000000"/>
          <w:sz w:val="24"/>
          <w:szCs w:val="24"/>
          <w:lang w:eastAsia="zh-CN"/>
        </w:rPr>
        <w:t xml:space="preserve"> 小时内到达现场进行处理。对于需要更换的产品，应在 7 个工作日内完成更换工作，确保医院的正常使用和结构安全。</w:t>
      </w:r>
    </w:p>
    <w:p w14:paraId="3CA11E4C">
      <w:pPr>
        <w:pageBreakBefore w:val="0"/>
        <w:kinsoku/>
        <w:overflowPunct/>
        <w:bidi w:val="0"/>
        <w:spacing w:line="360" w:lineRule="auto"/>
        <w:ind w:left="0" w:firstLine="420" w:firstLineChars="175"/>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六</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工程量清单</w:t>
      </w:r>
    </w:p>
    <w:p w14:paraId="19C413E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另附电子版一份。</w:t>
      </w:r>
    </w:p>
    <w:p w14:paraId="46C068CB">
      <w:pPr>
        <w:pageBreakBefore w:val="0"/>
        <w:kinsoku/>
        <w:overflowPunct/>
        <w:bidi w:val="0"/>
        <w:spacing w:line="360" w:lineRule="auto"/>
        <w:ind w:left="0" w:firstLine="420" w:firstLineChars="175"/>
        <w:rPr>
          <w:rFonts w:hint="eastAsia" w:ascii="黑体" w:hAnsi="黑体" w:eastAsia="黑体" w:cs="黑体"/>
          <w:b w:val="0"/>
          <w:bCs w:val="0"/>
          <w:color w:val="000000"/>
          <w:sz w:val="24"/>
          <w:szCs w:val="24"/>
          <w:lang w:val="en-US" w:eastAsia="zh-CN"/>
        </w:rPr>
      </w:pPr>
    </w:p>
    <w:p w14:paraId="14E43B52">
      <w:pPr>
        <w:pageBreakBefore w:val="0"/>
        <w:kinsoku/>
        <w:overflowPunct/>
        <w:bidi w:val="0"/>
        <w:spacing w:line="360" w:lineRule="auto"/>
        <w:ind w:left="0" w:firstLine="420" w:firstLineChars="175"/>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注:带“*”条款为实质性条款，必须完全响应，不允许负偏离，否则作无效响应处理。带“</w:t>
      </w:r>
      <w:r>
        <w:rPr>
          <w:rFonts w:hint="eastAsia" w:ascii="黑体" w:hAnsi="黑体" w:eastAsia="黑体" w:cs="黑体"/>
          <w:i w:val="0"/>
          <w:iCs w:val="0"/>
          <w:kern w:val="2"/>
          <w:sz w:val="24"/>
          <w:szCs w:val="24"/>
          <w:lang w:val="en-US" w:eastAsia="zh-CN" w:bidi="ar-SA"/>
        </w:rPr>
        <w:t>▲</w:t>
      </w:r>
      <w:r>
        <w:rPr>
          <w:rFonts w:hint="eastAsia" w:ascii="黑体" w:hAnsi="黑体" w:eastAsia="黑体" w:cs="黑体"/>
          <w:b w:val="0"/>
          <w:bCs w:val="0"/>
          <w:color w:val="000000"/>
          <w:sz w:val="24"/>
          <w:szCs w:val="24"/>
          <w:lang w:val="en-US" w:eastAsia="zh-CN"/>
        </w:rPr>
        <w:t>”表示重要参数，负偏离扣分。</w:t>
      </w:r>
    </w:p>
    <w:p w14:paraId="328077D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none"/>
      <w:pStyle w:val="3"/>
      <w:suff w:val="space"/>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533607B9"/>
    <w:multiLevelType w:val="singleLevel"/>
    <w:tmpl w:val="533607B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D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2025-06-16T08:05:28Z</dcterms:created>
  <dc:creator>d7706</dc:creator>
  <cp:lastModifiedBy>奥利奥利奥</cp:lastModifiedBy>
  <dcterms:modified xsi:type="dcterms:W3CDTF">2025-06-16T08:05:33Z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eyJoZGlkIjoiODJkYzVmZjcwYTQ5NWE2YjdlNmE4ZjI2Y2E1OGJiNTciLCJ1c2VySWQiOiIyNDQ5ODEzNDUifQ==</vt:lpwstr>
  </property>
  <property fmtid="{D5CDD505-2E9C-101B-9397-08002B2CF9AE}" pid="4" name="ICV">
    <vt:lpwstr>818D6A07D80C4CA290C8B053D346284D_12</vt:lpwstr>
  </property>
</Properties>
</file>